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F196" w14:textId="3FB309AC" w:rsidR="003D411D" w:rsidRDefault="00F04ACF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TPR Update</w:t>
      </w:r>
      <w:r w:rsidR="00946888">
        <w:rPr>
          <w:rFonts w:ascii="Calibri Light" w:hAnsi="Calibri Light" w:cs="Calibri Light"/>
          <w:sz w:val="40"/>
          <w:szCs w:val="40"/>
        </w:rPr>
        <w:t xml:space="preserve"> Webinar</w:t>
      </w:r>
      <w:bookmarkStart w:id="0" w:name="_GoBack"/>
      <w:bookmarkEnd w:id="0"/>
      <w:r>
        <w:rPr>
          <w:rFonts w:ascii="Calibri Light" w:hAnsi="Calibri Light" w:cs="Calibri Light"/>
          <w:sz w:val="40"/>
          <w:szCs w:val="40"/>
        </w:rPr>
        <w:t xml:space="preserve"> 3/10/21</w:t>
      </w:r>
    </w:p>
    <w:p w14:paraId="70CEB2F3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Wednesday, March 10, 2021</w:t>
      </w:r>
    </w:p>
    <w:p w14:paraId="44B3FB9B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12:02 PM</w:t>
      </w:r>
    </w:p>
    <w:p w14:paraId="47C8464B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93D950B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 Cote IDNR- Nursery Inspector and Compliance Officer</w:t>
      </w:r>
    </w:p>
    <w:p w14:paraId="7A8BB31D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6363DB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Callery pear and norway maple are not yet regulated - they are being evaluated before they can be added to the list.</w:t>
      </w:r>
    </w:p>
    <w:p w14:paraId="6BFAC05E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B2C100" w14:textId="01D04C6D" w:rsidR="003D411D" w:rsidRDefault="0094688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IDNR issued </w:t>
      </w:r>
      <w:r w:rsidR="00F04ACF">
        <w:rPr>
          <w:rFonts w:ascii="Calibri" w:hAnsi="Calibri" w:cs="Calibri"/>
          <w:sz w:val="22"/>
          <w:szCs w:val="22"/>
        </w:rPr>
        <w:t>74 stop sale</w:t>
      </w:r>
      <w:r>
        <w:rPr>
          <w:rFonts w:ascii="Calibri" w:hAnsi="Calibri" w:cs="Calibri"/>
          <w:sz w:val="22"/>
          <w:szCs w:val="22"/>
        </w:rPr>
        <w:t xml:space="preserve"> orders</w:t>
      </w:r>
      <w:r w:rsidR="00F04ACF">
        <w:rPr>
          <w:rFonts w:ascii="Calibri" w:hAnsi="Calibri" w:cs="Calibri"/>
          <w:sz w:val="22"/>
          <w:szCs w:val="22"/>
        </w:rPr>
        <w:t xml:space="preserve"> in 2020 and destroyed 2100 plants. </w:t>
      </w:r>
    </w:p>
    <w:p w14:paraId="1DA2D161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A472872" w14:textId="2E62A704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cultivars of euonymus fortunei (</w:t>
      </w:r>
      <w:r w:rsidR="00946888">
        <w:rPr>
          <w:rFonts w:ascii="Calibri" w:hAnsi="Calibri" w:cs="Calibri"/>
          <w:sz w:val="22"/>
          <w:szCs w:val="22"/>
        </w:rPr>
        <w:t>wintercreeper) and</w:t>
      </w:r>
      <w:r>
        <w:rPr>
          <w:rFonts w:ascii="Calibri" w:hAnsi="Calibri" w:cs="Calibri"/>
          <w:sz w:val="22"/>
          <w:szCs w:val="22"/>
        </w:rPr>
        <w:t xml:space="preserve"> barberry are regulated.</w:t>
      </w:r>
    </w:p>
    <w:p w14:paraId="66E74559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5C606A" w14:textId="68EAEAA0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IISC invasive species list - plants are evaluated then ranked.  Being on the list doesn't mean it is necessarily </w:t>
      </w:r>
      <w:r w:rsidR="00946888">
        <w:rPr>
          <w:rFonts w:ascii="Calibri" w:hAnsi="Calibri" w:cs="Calibri"/>
          <w:sz w:val="22"/>
          <w:szCs w:val="22"/>
        </w:rPr>
        <w:t>regulated (</w:t>
      </w:r>
      <w:r>
        <w:rPr>
          <w:rFonts w:ascii="Calibri" w:hAnsi="Calibri" w:cs="Calibri"/>
          <w:sz w:val="22"/>
          <w:szCs w:val="22"/>
        </w:rPr>
        <w:t>yet)</w:t>
      </w:r>
      <w:r w:rsidR="00946888">
        <w:rPr>
          <w:rFonts w:ascii="Calibri" w:hAnsi="Calibri" w:cs="Calibri"/>
          <w:sz w:val="22"/>
          <w:szCs w:val="22"/>
        </w:rPr>
        <w:t xml:space="preserve"> but that it has been accessed and is invasive.</w:t>
      </w:r>
    </w:p>
    <w:p w14:paraId="5FEBB0BA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FE7B0D3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Don't buy:</w:t>
      </w:r>
    </w:p>
    <w:p w14:paraId="26778604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Burning bush, </w:t>
      </w:r>
      <w:proofErr w:type="gramStart"/>
      <w:r>
        <w:rPr>
          <w:rFonts w:ascii="Calibri" w:hAnsi="Calibri" w:cs="Calibri"/>
          <w:sz w:val="22"/>
          <w:szCs w:val="22"/>
        </w:rPr>
        <w:t>moneywort,  Chinese</w:t>
      </w:r>
      <w:proofErr w:type="gramEnd"/>
      <w:r>
        <w:rPr>
          <w:rFonts w:ascii="Calibri" w:hAnsi="Calibri" w:cs="Calibri"/>
          <w:sz w:val="22"/>
          <w:szCs w:val="22"/>
        </w:rPr>
        <w:t xml:space="preserve"> silver grass (miscanthus sinensis), </w:t>
      </w:r>
    </w:p>
    <w:p w14:paraId="525D0891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1E7698" w14:textId="68725615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Pear</w:t>
      </w:r>
      <w:r w:rsidR="00946888">
        <w:rPr>
          <w:rFonts w:ascii="Calibri" w:hAnsi="Calibri" w:cs="Calibri"/>
          <w:sz w:val="22"/>
          <w:szCs w:val="22"/>
        </w:rPr>
        <w:t>—Pear wasn’t included in the TPR because the economic impact of stopping its sale was classified as being too high/too much impact on the sellers/growers. T</w:t>
      </w:r>
      <w:r>
        <w:rPr>
          <w:rFonts w:ascii="Calibri" w:hAnsi="Calibri" w:cs="Calibri"/>
          <w:sz w:val="22"/>
          <w:szCs w:val="22"/>
        </w:rPr>
        <w:t xml:space="preserve">hey are seeing </w:t>
      </w:r>
      <w:proofErr w:type="gramStart"/>
      <w:r>
        <w:rPr>
          <w:rFonts w:ascii="Calibri" w:hAnsi="Calibri" w:cs="Calibri"/>
          <w:sz w:val="22"/>
          <w:szCs w:val="22"/>
        </w:rPr>
        <w:t>less</w:t>
      </w:r>
      <w:proofErr w:type="gramEnd"/>
      <w:r>
        <w:rPr>
          <w:rFonts w:ascii="Calibri" w:hAnsi="Calibri" w:cs="Calibri"/>
          <w:sz w:val="22"/>
          <w:szCs w:val="22"/>
        </w:rPr>
        <w:t xml:space="preserve"> and less</w:t>
      </w:r>
      <w:r w:rsidR="00946888">
        <w:rPr>
          <w:rFonts w:ascii="Calibri" w:hAnsi="Calibri" w:cs="Calibri"/>
          <w:sz w:val="22"/>
          <w:szCs w:val="22"/>
        </w:rPr>
        <w:t xml:space="preserve"> pear</w:t>
      </w:r>
      <w:r>
        <w:rPr>
          <w:rFonts w:ascii="Calibri" w:hAnsi="Calibri" w:cs="Calibri"/>
          <w:sz w:val="22"/>
          <w:szCs w:val="22"/>
        </w:rPr>
        <w:t xml:space="preserve"> being brought in by vendors. The less is brought in, the less economic impact and therefore ease of getting it added</w:t>
      </w:r>
      <w:r w:rsidR="00946888">
        <w:rPr>
          <w:rFonts w:ascii="Calibri" w:hAnsi="Calibri" w:cs="Calibri"/>
          <w:sz w:val="22"/>
          <w:szCs w:val="22"/>
        </w:rPr>
        <w:t xml:space="preserve"> to the TPR</w:t>
      </w:r>
      <w:r>
        <w:rPr>
          <w:rFonts w:ascii="Calibri" w:hAnsi="Calibri" w:cs="Calibri"/>
          <w:sz w:val="22"/>
          <w:szCs w:val="22"/>
        </w:rPr>
        <w:t>.  Tell your growers and retailers you don't want to see it</w:t>
      </w:r>
      <w:r w:rsidR="00946888">
        <w:rPr>
          <w:rFonts w:ascii="Calibri" w:hAnsi="Calibri" w:cs="Calibri"/>
          <w:sz w:val="22"/>
          <w:szCs w:val="22"/>
        </w:rPr>
        <w:t xml:space="preserve"> available</w:t>
      </w:r>
      <w:r>
        <w:rPr>
          <w:rFonts w:ascii="Calibri" w:hAnsi="Calibri" w:cs="Calibri"/>
          <w:sz w:val="22"/>
          <w:szCs w:val="22"/>
        </w:rPr>
        <w:t xml:space="preserve">.  Most of it being sold is at mass market/large garden centers. </w:t>
      </w:r>
    </w:p>
    <w:p w14:paraId="69B88FD7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731726" w14:textId="77777777" w:rsidR="003D411D" w:rsidRDefault="00F04AC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04EF8497" wp14:editId="73BE506C">
            <wp:extent cx="5695950" cy="3333750"/>
            <wp:effectExtent l="0" t="0" r="0" b="0"/>
            <wp:docPr id="1" name="Picture 1" descr="Machine generated alternative text:&#10;DNR &#10;DIVISION OF &#10;ENTOMOLOGY &amp; PLANT PATHOLOGY &#10;Developing a rule takes time &#10;Steps to make the proposed rule into state administrative code: &#10;Approval by the DNR executive office &amp; INLA board &#10;Approval by the Office of Management and Budget &#10;Approval by the Natural Resource Commission Advisory Council &#10;Preliminary adoption by the Natural Resources Commission &#10;Comments solicited from the public &#10;• &#10;Public Hearings held on proposal &#10;• Final Approval by the Natural Resources Commission &#10;Approval by the Attorney General's Office &#10;Approval by the Governor &#10;Published by Legislative Services Agency; effective 30 days later &#10;Adoption of any new rule can take up to a ye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DNR &#10;DIVISION OF &#10;ENTOMOLOGY &amp; PLANT PATHOLOGY &#10;Developing a rule takes time &#10;Steps to make the proposed rule into state administrative code: &#10;Approval by the DNR executive office &amp; INLA board &#10;Approval by the Office of Management and Budget &#10;Approval by the Natural Resource Commission Advisory Council &#10;Preliminary adoption by the Natural Resources Commission &#10;Comments solicited from the public &#10;• &#10;Public Hearings held on proposal &#10;• Final Approval by the Natural Resources Commission &#10;Approval by the Attorney General's Office &#10;Approval by the Governor &#10;Published by Legislative Services Agency; effective 30 days later &#10;Adoption of any new rule can take up to a year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0A29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2E9C50" w14:textId="77777777" w:rsidR="003D411D" w:rsidRDefault="00F04ACF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67202895" wp14:editId="57C1C4F4">
            <wp:extent cx="5438775" cy="3171825"/>
            <wp:effectExtent l="0" t="0" r="9525" b="9525"/>
            <wp:docPr id="2" name="Picture 2" descr="Machine generated alternative text:&#10;DNR &#10;DIVISION OF &#10;ENTOMOLOGY &amp; PLANT PATHOLOGY &#10;Enforcement of Terrestrial Rule &#10;• April 18, 2020 &#10;we began enforcement at sale locations &#10;• Stop Sale/Rejection Notices were issued if regulate plants found. &#10;• Notices of Violations may also be issued with potential of a fine of &#10;$500 &#10;per plant and possible license revocation. &#10;A person must not sell, offer or grow for sale, gift, barter, exchange, &#10;distribute, transport, transfer or introduce species regulated under &#10;the Terrestrial Rule. &#10;• Plants already installed in landscapes prior to April 18, 2020 will &#10;exemp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&#10;DNR &#10;DIVISION OF &#10;ENTOMOLOGY &amp; PLANT PATHOLOGY &#10;Enforcement of Terrestrial Rule &#10;• April 18, 2020 &#10;we began enforcement at sale locations &#10;• Stop Sale/Rejection Notices were issued if regulate plants found. &#10;• Notices of Violations may also be issued with potential of a fine of &#10;$500 &#10;per plant and possible license revocation. &#10;A person must not sell, offer or grow for sale, gift, barter, exchange, &#10;distribute, transport, transfer or introduce species regulated under &#10;the Terrestrial Rule. &#10;• Plants already installed in landscapes prior to April 18, 2020 will &#10;exempt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3FADA2E7" wp14:editId="034F3EBB">
            <wp:extent cx="5629275" cy="3171825"/>
            <wp:effectExtent l="0" t="0" r="9525" b="9525"/>
            <wp:docPr id="3" name="Picture 3" descr="Machine generated alternative text:&#10;DNR &#10;DIVISION OF &#10;ENTOMOLOGY &amp; PLANT PATHOLOGY &#10;Prohibited Species &#10;(1) Achyranthes japonica (Japanese chaff &#10;flower). &#10;(2) Ailanthus altissima (tree of heaven)_ &#10;(3) Alliaria petiolata (garlic mustard). &#10;(4) Alnu_s glutinosa (black alder). &#10;(5) Artemisia vulgaris (mugwort)_ &#10;(6) Arthraxon hispidus (small carpgrass). &#10;(7) Berberis thunbergii (Japanese &#10;barberry). &#10;(8) Carduus acanthoides (spiny plumeless &#10;thistle). &#10;(9) Carduus nutans (musk thistle). &#10;(10) Celastrus orbiculatus (Asian &#10;bittersweet). &#10;(11) Centaurea stoebe (spotted &#10;knapweed). &#10;(12) Cirsium vulgare (bull thistle). &#10;(13) Conium maculatum (poison &#10;hemlock). &#10;(14) Convolvulus arvensis (field &#10;bindweed) _ &#10;(15) Coronilla varia (crown vetch). &#10;(16) Dioscurea polystachya (oppositifolia) &#10;(Chinese yarn). &#10;(17) Dipsacus fullonum (common teasel). &#10;(18) Dipsacus laciniatus (cut-leaved teasel). &#10;(19) Elacagnus umbellata (autumn olive). &#10;(20) Euonyrnus fortunei (wintercreeper). &#10;(21) Euphorbia esula (leafy spurge) &#10;(22) Frangula alnus (glossy buckthorn). &#10;(23) Hesperis matronalis (dame's rocket). &#10;(24) Humulus japonicus (Japanese hops). &#10;(25) Lepidium latifolium (pepperweed). &#10;(26) Lespedeza cuneata (sericea &#10;lespedeza) _ &#10;(27) Ligustrum obtusifolium (blunt leaved &#10;privet). &#10;(28) Lonicera japonica (Japanese &#10;honeysuckle). &#10;(29) Lonicera maacki (Amur honeysuckle). &#10;(30) Lonicera morrowii (Morrows &#10;honeysuckle). &#10;(31) Lonicera tatarica (Tatarian honeysuckle). &#10;(32) l_onicera x bella (Bell's honeysuckle). &#10;(33) Microsteæiurn vimineum (Japanese &#10;stiltgrass). &#10;(34) Morus alba (white mulberry). &#10;(35) Phalaris arundinacea (reed canarwass). &#10;(36) Phellodendron amurense (Amur cork tree). &#10;(37) Phragmites australis subspecies australis &#10;(common reed). &#10;(38) Polygonum perfoliatum (mile-a-minute &#10;vine). &#10;(39) Reynoutria japonica (Japanese knotweed)_ &#10;(40) Reynoutria sachalinensis (giant knotweed) &#10;(41) Reynoutria x bohemica (Bohemian &#10;knotweed). &#10;(42) Rhamnus cathartica (common buckthorn). &#10;(43) Vincetoxicum nigrurn (black swallow-wort). &#10;(44) Vincetoxicum rossicum (pale swall?W- &#10;wor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&#10;DNR &#10;DIVISION OF &#10;ENTOMOLOGY &amp; PLANT PATHOLOGY &#10;Prohibited Species &#10;(1) Achyranthes japonica (Japanese chaff &#10;flower). &#10;(2) Ailanthus altissima (tree of heaven)_ &#10;(3) Alliaria petiolata (garlic mustard). &#10;(4) Alnu_s glutinosa (black alder). &#10;(5) Artemisia vulgaris (mugwort)_ &#10;(6) Arthraxon hispidus (small carpgrass). &#10;(7) Berberis thunbergii (Japanese &#10;barberry). &#10;(8) Carduus acanthoides (spiny plumeless &#10;thistle). &#10;(9) Carduus nutans (musk thistle). &#10;(10) Celastrus orbiculatus (Asian &#10;bittersweet). &#10;(11) Centaurea stoebe (spotted &#10;knapweed). &#10;(12) Cirsium vulgare (bull thistle). &#10;(13) Conium maculatum (poison &#10;hemlock). &#10;(14) Convolvulus arvensis (field &#10;bindweed) _ &#10;(15) Coronilla varia (crown vetch). &#10;(16) Dioscurea polystachya (oppositifolia) &#10;(Chinese yarn). &#10;(17) Dipsacus fullonum (common teasel). &#10;(18) Dipsacus laciniatus (cut-leaved teasel). &#10;(19) Elacagnus umbellata (autumn olive). &#10;(20) Euonyrnus fortunei (wintercreeper). &#10;(21) Euphorbia esula (leafy spurge) &#10;(22) Frangula alnus (glossy buckthorn). &#10;(23) Hesperis matronalis (dame's rocket). &#10;(24) Humulus japonicus (Japanese hops). &#10;(25) Lepidium latifolium (pepperweed). &#10;(26) Lespedeza cuneata (sericea &#10;lespedeza) _ &#10;(27) Ligustrum obtusifolium (blunt leaved &#10;privet). &#10;(28) Lonicera japonica (Japanese &#10;honeysuckle). &#10;(29) Lonicera maacki (Amur honeysuckle). &#10;(30) Lonicera morrowii (Morrows &#10;honeysuckle). &#10;(31) Lonicera tatarica (Tatarian honeysuckle). &#10;(32) l_onicera x bella (Bell's honeysuckle). &#10;(33) Microsteæiurn vimineum (Japanese &#10;stiltgrass). &#10;(34) Morus alba (white mulberry). &#10;(35) Phalaris arundinacea (reed canarwass). &#10;(36) Phellodendron amurense (Amur cork tree). &#10;(37) Phragmites australis subspecies australis &#10;(common reed). &#10;(38) Polygonum perfoliatum (mile-a-minute &#10;vine). &#10;(39) Reynoutria japonica (Japanese knotweed)_ &#10;(40) Reynoutria sachalinensis (giant knotweed) &#10;(41) Reynoutria x bohemica (Bohemian &#10;knotweed). &#10;(42) Rhamnus cathartica (common buckthorn). &#10;(43) Vincetoxicum nigrurn (black swallow-wort). &#10;(44) Vincetoxicum rossicum (pale swall?W- &#10;wort)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12263200" wp14:editId="5E58E7F7">
            <wp:extent cx="6286500" cy="3476625"/>
            <wp:effectExtent l="0" t="0" r="0" b="9525"/>
            <wp:docPr id="4" name="Picture 4" descr="Machine generated alternative text:&#10;DNR &#10;DIVISION OF &#10;ENTOMOLOGY &amp; PLANT PATHOLOGY &#10;Invasive Species Grower Sur.'€y_ &#10;3 &#10;174.7 &#10;4 &#10;o &#10;5 &#10;o &#10;6 &#10;0 &#10;7 &#10;0 &#10;8 &#10;o &#10;9 &#10;457.1 &#10;10 &#10;Grand Total &#10;stu It z &#10;Burkle &#10;Bontra er &#10;gall &#10;Sites &#10;Ave ra 'Site &#10;1 &#10;2636 &#10;as 72 &#10;1837 &#10;159.8 &#10;2 &#10;3210 &#10;130.9 &#10;11 &#10;1920 &#10;1035 &#10;82.9 &#10;12 &#10;1917 &#10;39.9 &#10;I - ( Euomm_as a latus) &#10;12 - pear (PyruS &#10;2 - chine &#10;e maiden grass (Miscanthus sinensis) &#10;high sh Viburnu &#10;m opulus v. opul &#10;wild parsnip (Pastinaca sativa) &#10;e hedge parsley japoniQ) &#10;landine f'ær•a) &#10;ing hedge parsley (Torilis arvenSiS &#10;hia u &#10;'aria) &#10;ma n e W' ort &#10;tis te •flora) &#10;ati &#10;11 • Norway maple (Acer platanoides) &#10;12 - Line &#10;fragula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&#10;DNR &#10;DIVISION OF &#10;ENTOMOLOGY &amp; PLANT PATHOLOGY &#10;Invasive Species Grower Sur.'€y_ &#10;3 &#10;174.7 &#10;4 &#10;o &#10;5 &#10;o &#10;6 &#10;0 &#10;7 &#10;0 &#10;8 &#10;o &#10;9 &#10;457.1 &#10;10 &#10;Grand Total &#10;stu It z &#10;Burkle &#10;Bontra er &#10;gall &#10;Sites &#10;Ave ra 'Site &#10;1 &#10;2636 &#10;as 72 &#10;1837 &#10;159.8 &#10;2 &#10;3210 &#10;130.9 &#10;11 &#10;1920 &#10;1035 &#10;82.9 &#10;12 &#10;1917 &#10;39.9 &#10;I - ( Euomm_as a latus) &#10;12 - pear (PyruS &#10;2 - chine &#10;e maiden grass (Miscanthus sinensis) &#10;high sh Viburnu &#10;m opulus v. opul &#10;wild parsnip (Pastinaca sativa) &#10;e hedge parsley japoniQ) &#10;landine f'ær•a) &#10;ing hedge parsley (Torilis arvenSiS &#10;hia u &#10;'aria) &#10;ma n e W' ort &#10;tis te •flora) &#10;ati &#10;11 • Norway maple (Acer platanoides) &#10;12 - Line &#10;fragula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8599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2524EF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06C350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7F896A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4C76792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DD317E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C0865D" w14:textId="77777777" w:rsidR="003D411D" w:rsidRDefault="00F04AC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sectPr w:rsidR="003D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F"/>
    <w:rsid w:val="003D411D"/>
    <w:rsid w:val="00946888"/>
    <w:rsid w:val="00F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7E4A6"/>
  <w15:chartTrackingRefBased/>
  <w15:docId w15:val="{85281BA3-F7D9-434E-BAF5-E1CDE068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Lane</dc:creator>
  <cp:keywords/>
  <dc:description/>
  <cp:lastModifiedBy>Claire Lane</cp:lastModifiedBy>
  <cp:revision>3</cp:revision>
  <dcterms:created xsi:type="dcterms:W3CDTF">2021-03-10T18:01:00Z</dcterms:created>
  <dcterms:modified xsi:type="dcterms:W3CDTF">2021-04-01T16:22:00Z</dcterms:modified>
</cp:coreProperties>
</file>